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Pr="001F6BCD" w:rsidRDefault="001F6BCD" w:rsidP="0001333C">
      <w:pPr>
        <w:keepNext/>
        <w:outlineLvl w:val="0"/>
        <w:rPr>
          <w:rFonts w:ascii="Open Sans" w:hAnsi="Open Sans" w:cs="Open Sans"/>
          <w:b/>
          <w:color w:val="595959" w:themeColor="text1" w:themeTint="A6"/>
          <w:sz w:val="72"/>
          <w:szCs w:val="72"/>
          <w:lang w:val="en-GB"/>
        </w:rPr>
      </w:pPr>
      <w:r>
        <w:rPr>
          <w:rFonts w:ascii="Open Sans" w:hAnsi="Open Sans" w:cs="Open Sans"/>
          <w:b/>
          <w:color w:val="595959" w:themeColor="text1" w:themeTint="A6"/>
          <w:sz w:val="72"/>
          <w:szCs w:val="72"/>
          <w:lang w:val="en-GB"/>
        </w:rPr>
        <w:t>Applying Workbench V11 Service Pack 1 Patch 10</w:t>
      </w: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1F6BCD" w:rsidRDefault="001F6BCD" w:rsidP="0001333C">
      <w:pPr>
        <w:keepNext/>
        <w:outlineLvl w:val="0"/>
        <w:rPr>
          <w:rFonts w:asciiTheme="minorHAnsi" w:hAnsiTheme="minorHAnsi" w:cs="Segoe UI"/>
          <w:b/>
          <w:sz w:val="22"/>
          <w:szCs w:val="22"/>
          <w:lang w:val="en-GB"/>
        </w:rPr>
      </w:pPr>
    </w:p>
    <w:p w:rsidR="0001333C" w:rsidRPr="00084730" w:rsidRDefault="0001333C" w:rsidP="0001333C">
      <w:pPr>
        <w:rPr>
          <w:rFonts w:asciiTheme="minorHAnsi" w:hAnsiTheme="minorHAnsi" w:cs="Segoe UI"/>
          <w:sz w:val="22"/>
          <w:szCs w:val="22"/>
        </w:rPr>
      </w:pPr>
    </w:p>
    <w:p w:rsidR="0001333C" w:rsidRPr="00084730" w:rsidRDefault="0001333C" w:rsidP="0001333C">
      <w:pPr>
        <w:rPr>
          <w:rFonts w:asciiTheme="minorHAnsi" w:hAnsiTheme="minorHAnsi" w:cs="Segoe UI"/>
          <w:sz w:val="22"/>
          <w:szCs w:val="22"/>
        </w:rPr>
      </w:pPr>
    </w:p>
    <w:p w:rsidR="001F6BCD" w:rsidRDefault="001F6BCD" w:rsidP="0001333C">
      <w:pPr>
        <w:rPr>
          <w:rFonts w:ascii="Lato" w:hAnsi="Lato" w:cs="Segoe UI"/>
          <w:color w:val="595959" w:themeColor="text1" w:themeTint="A6"/>
          <w:sz w:val="28"/>
          <w:szCs w:val="28"/>
        </w:rPr>
      </w:pPr>
      <w:r w:rsidRPr="001F6BCD">
        <w:rPr>
          <w:rFonts w:ascii="Lato" w:hAnsi="Lato" w:cs="Segoe UI"/>
          <w:color w:val="595959" w:themeColor="text1" w:themeTint="A6"/>
          <w:sz w:val="28"/>
          <w:szCs w:val="28"/>
        </w:rPr>
        <w:t>Important: You must read the following section</w:t>
      </w:r>
    </w:p>
    <w:p w:rsidR="001F6BCD" w:rsidRDefault="001F6BCD" w:rsidP="0001333C">
      <w:pPr>
        <w:rPr>
          <w:rFonts w:ascii="Lato" w:hAnsi="Lato" w:cs="Segoe UI"/>
          <w:color w:val="595959" w:themeColor="text1" w:themeTint="A6"/>
          <w:sz w:val="28"/>
          <w:szCs w:val="28"/>
        </w:rPr>
      </w:pPr>
    </w:p>
    <w:p w:rsidR="001F6BCD" w:rsidRPr="001F6BCD" w:rsidRDefault="001F6BCD" w:rsidP="0001333C">
      <w:pPr>
        <w:rPr>
          <w:rFonts w:ascii="Lato" w:hAnsi="Lato" w:cs="Segoe UI"/>
          <w:color w:val="595959" w:themeColor="text1" w:themeTint="A6"/>
          <w:sz w:val="28"/>
          <w:szCs w:val="28"/>
        </w:rPr>
      </w:pPr>
    </w:p>
    <w:p w:rsidR="0001333C" w:rsidRPr="001F6BCD" w:rsidRDefault="0001333C" w:rsidP="0001333C">
      <w:pPr>
        <w:rPr>
          <w:rFonts w:ascii="Open Sans" w:hAnsi="Open Sans" w:cs="Open Sans"/>
          <w:color w:val="595959" w:themeColor="text1" w:themeTint="A6"/>
          <w:szCs w:val="20"/>
        </w:rPr>
      </w:pPr>
      <w:r w:rsidRPr="001F6BCD">
        <w:rPr>
          <w:rFonts w:ascii="Open Sans" w:hAnsi="Open Sans" w:cs="Open Sans"/>
          <w:color w:val="595959" w:themeColor="text1" w:themeTint="A6"/>
          <w:szCs w:val="20"/>
        </w:rPr>
        <w:t xml:space="preserve">It is </w:t>
      </w:r>
      <w:r w:rsidRPr="001F6BCD">
        <w:rPr>
          <w:rFonts w:ascii="Open Sans" w:hAnsi="Open Sans" w:cs="Open Sans"/>
          <w:color w:val="595959" w:themeColor="text1" w:themeTint="A6"/>
          <w:szCs w:val="20"/>
          <w:u w:val="single"/>
        </w:rPr>
        <w:t>essential</w:t>
      </w:r>
      <w:r w:rsidRPr="001F6BCD">
        <w:rPr>
          <w:rFonts w:ascii="Open Sans" w:hAnsi="Open Sans" w:cs="Open Sans"/>
          <w:color w:val="595959" w:themeColor="text1" w:themeTint="A6"/>
          <w:szCs w:val="20"/>
        </w:rPr>
        <w:t xml:space="preserve"> you ensure that all your data / systems / databases are fully backed up before following any procedure or advice provided. Ideage</w:t>
      </w:r>
      <w:r w:rsidR="006D70D1" w:rsidRPr="001F6BCD">
        <w:rPr>
          <w:rFonts w:ascii="Open Sans" w:hAnsi="Open Sans" w:cs="Open Sans"/>
          <w:color w:val="595959" w:themeColor="text1" w:themeTint="A6"/>
          <w:szCs w:val="20"/>
        </w:rPr>
        <w:t xml:space="preserve">n </w:t>
      </w:r>
      <w:r w:rsidR="00097C1B" w:rsidRPr="001F6BCD">
        <w:rPr>
          <w:rFonts w:ascii="Open Sans" w:hAnsi="Open Sans" w:cs="Open Sans"/>
          <w:color w:val="595959" w:themeColor="text1" w:themeTint="A6"/>
          <w:szCs w:val="20"/>
        </w:rPr>
        <w:t>Gael</w:t>
      </w:r>
      <w:r w:rsidR="006D70D1" w:rsidRPr="001F6BCD">
        <w:rPr>
          <w:rFonts w:ascii="Open Sans" w:hAnsi="Open Sans" w:cs="Open Sans"/>
          <w:color w:val="595959" w:themeColor="text1" w:themeTint="A6"/>
          <w:szCs w:val="20"/>
        </w:rPr>
        <w:t xml:space="preserve"> Ltd</w:t>
      </w:r>
      <w:r w:rsidRPr="001F6BCD">
        <w:rPr>
          <w:rFonts w:ascii="Open Sans" w:hAnsi="Open Sans" w:cs="Open Sans"/>
          <w:color w:val="595959" w:themeColor="text1" w:themeTint="A6"/>
          <w:szCs w:val="20"/>
        </w:rPr>
        <w:t xml:space="preserve"> accept no liability whatsoever for any data loss / corruption / system downtime / business or monetary loss caused either directly or indirectly from the use of the information or utilities provided. Ensure all users are off the system before commencing.</w:t>
      </w:r>
    </w:p>
    <w:p w:rsidR="00C1433F" w:rsidRPr="001F6BCD" w:rsidRDefault="00C1433F" w:rsidP="0001333C">
      <w:pPr>
        <w:rPr>
          <w:rFonts w:ascii="Open Sans" w:hAnsi="Open Sans" w:cs="Open Sans"/>
          <w:color w:val="595959" w:themeColor="text1" w:themeTint="A6"/>
          <w:szCs w:val="20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Pre-requisites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Please make sure you have a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complete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backup of your Workbench server before undergoing this process.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You must be running version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11 SP 1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or above of Workbench in order to apply Patch </w:t>
      </w:r>
      <w:r w:rsidR="00F07E78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10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Please make sure all users are logged out of Workbench, and that applications such as Workbench Licence Manager are not running on the server or client machines.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The server will need to be restarted at the end of this process.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Workbench Office add-ins for Microsoft Office 2013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Please note that if you are upgrading from SP 1 or any of the previous patches, any of your users that are on Microsoft Office 2013 and want to use the Workbench add-ins for Word, Excel and PowerPoint, the add-ins will need to be re-installed as there are new versions that work with Office 2013</w:t>
      </w:r>
      <w:r w:rsidR="00F07E78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</w:t>
      </w:r>
      <w:r w:rsidR="00F07E78"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UNLESS they are already on v11.1.8.100 of the add-ins</w:t>
      </w:r>
      <w:r w:rsidR="00F07E78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sz w:val="22"/>
          <w:szCs w:val="22"/>
          <w:lang w:val="en-GB"/>
        </w:rPr>
        <w:br w:type="page"/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lastRenderedPageBreak/>
        <w:t xml:space="preserve">If you also have </w:t>
      </w:r>
      <w:proofErr w:type="spellStart"/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IntraVista</w:t>
      </w:r>
      <w:proofErr w:type="spellEnd"/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Professional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you need to stop access to it before upgrading </w:t>
      </w:r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Workbench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. This prevents the upgrade to Workbench being compromised by users trying to view documents in </w:t>
      </w:r>
      <w:proofErr w:type="spellStart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IVPro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  <w:r w:rsid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To disable </w:t>
      </w:r>
      <w:proofErr w:type="spellStart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IVPro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start by running the WebObjects monitor from the desktop icon on the </w:t>
      </w:r>
      <w:proofErr w:type="spellStart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IVPro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server, or alternatively open Internet Explorer and go to </w:t>
      </w:r>
      <w:hyperlink r:id="rId8" w:history="1">
        <w:r w:rsidRPr="001F6BCD">
          <w:rPr>
            <w:rStyle w:val="Hyperlink"/>
            <w:rFonts w:ascii="Open Sans" w:hAnsi="Open Sans" w:cs="Open Sans"/>
            <w:color w:val="595959" w:themeColor="text1" w:themeTint="A6"/>
            <w:szCs w:val="20"/>
            <w:lang w:val="en-GB"/>
          </w:rPr>
          <w:t>http://localhost:56789</w:t>
        </w:r>
      </w:hyperlink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. Click the 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Detail View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button.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 wp14:anchorId="71450502" wp14:editId="7FDE23FF">
            <wp:extent cx="5274310" cy="4218940"/>
            <wp:effectExtent l="0" t="0" r="0" b="0"/>
            <wp:docPr id="13" name="Picture 1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noProof/>
          <w:sz w:val="22"/>
          <w:szCs w:val="22"/>
          <w:lang w:val="en-GB" w:eastAsia="en-GB"/>
        </w:rPr>
        <w:lastRenderedPageBreak/>
        <w:drawing>
          <wp:inline distT="0" distB="0" distL="0" distR="0" wp14:anchorId="0817DAA9" wp14:editId="162C43F6">
            <wp:extent cx="5274310" cy="4218940"/>
            <wp:effectExtent l="19050" t="0" r="2540" b="0"/>
            <wp:docPr id="14" name="Picture 13" descr="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BCD" w:rsidRDefault="001F6BCD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1F6BCD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Under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Auto Recover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, click on the Green</w:t>
      </w:r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‘</w:t>
      </w:r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ON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’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icon and this should turn to a White 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‘</w:t>
      </w:r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OFF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’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. Under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Start – Stop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click on the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Red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LED and then press 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F5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to refresh the page. The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Status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will now show as 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‘</w:t>
      </w:r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OFF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’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(in Red, see below). You can now close Internet Explorer.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 wp14:anchorId="3B38018B" wp14:editId="6EA00EC7">
            <wp:extent cx="5274310" cy="3988435"/>
            <wp:effectExtent l="19050" t="0" r="2540" b="0"/>
            <wp:docPr id="15" name="Picture 14" descr="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433F">
        <w:rPr>
          <w:rFonts w:asciiTheme="minorHAnsi" w:hAnsiTheme="minorHAnsi" w:cs="Segoe UI"/>
          <w:sz w:val="22"/>
          <w:szCs w:val="22"/>
          <w:lang w:val="en-GB"/>
        </w:rPr>
        <w:br w:type="page"/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lastRenderedPageBreak/>
        <w:t xml:space="preserve">If you have </w:t>
      </w:r>
      <w:proofErr w:type="spellStart"/>
      <w:r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IntraVista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to prevent users accessing the database all you need to do is rename the 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QwbCgi.exe</w:t>
      </w:r>
      <w:r w:rsidR="00D75125"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 xml:space="preserve"> </w:t>
      </w:r>
      <w:r w:rsidR="00D75125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or</w:t>
      </w:r>
      <w:r w:rsidR="00D75125"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 xml:space="preserve"> </w:t>
      </w:r>
      <w:r w:rsidR="00D75125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Qwb.Cgi.dll</w:t>
      </w:r>
      <w:r w:rsidR="00D75125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file to (</w:t>
      </w:r>
      <w:proofErr w:type="spellStart"/>
      <w:r w:rsidR="00D75125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QwbCgi.old</w:t>
      </w:r>
      <w:proofErr w:type="spellEnd"/>
      <w:r w:rsidR="00D75125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) 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in the 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</w:t>
      </w:r>
      <w:proofErr w:type="spellStart"/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Inetpub</w:t>
      </w:r>
      <w:proofErr w:type="spellEnd"/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</w:t>
      </w:r>
      <w:proofErr w:type="spellStart"/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ivscripts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folder. Once the upgrade has been completed, just rename it back again.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On the Workbench server create a folder called 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WB11SP1Patch</w:t>
      </w:r>
      <w:r w:rsidR="00A23CFA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10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in the 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workbench\Ideagen\</w:t>
      </w:r>
      <w:proofErr w:type="spellStart"/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WBPro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folder, and then extract the files from the 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Workbench11SP1P</w:t>
      </w:r>
      <w:r w:rsidR="00A23CFA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10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.zip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file into it.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Default="00CD00EE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4878000" cy="3254400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00" cy="32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BCD" w:rsidRPr="00C1433F" w:rsidRDefault="001F6BCD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1F6BCD" w:rsidRDefault="00A7704B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In the </w:t>
      </w:r>
      <w:r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WB11SP1Patch10</w:t>
      </w:r>
      <w:r w:rsidR="00232C46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 xml:space="preserve"> folder</w:t>
      </w:r>
      <w:r w:rsidR="00F940A2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Double-click the </w:t>
      </w:r>
      <w:r w:rsidR="00F940A2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WB11SP1Patch10</w:t>
      </w:r>
      <w:r w:rsidR="00C1433F" w:rsidRPr="000C119A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Installer.exe</w:t>
      </w:r>
      <w:r w:rsidR="00C1433F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file. On the Service Pack Installer Welcome screen, providing you have a complete backup of your system, check the box and then click 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="00C1433F"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0C119A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="00C1433F" w:rsidRPr="000C119A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B00C2B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noProof/>
          <w:color w:val="595959" w:themeColor="text1" w:themeTint="A6"/>
          <w:szCs w:val="20"/>
          <w:lang w:val="en-GB" w:eastAsia="en-GB"/>
        </w:rPr>
        <w:drawing>
          <wp:inline distT="0" distB="0" distL="0" distR="0" wp14:anchorId="336F73D0" wp14:editId="55BACF06">
            <wp:extent cx="4345200" cy="25524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The installer will need to stop the </w:t>
      </w:r>
      <w:proofErr w:type="spellStart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IVPro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services so click 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273935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273935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874546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lastRenderedPageBreak/>
        <w:drawing>
          <wp:inline distT="0" distB="0" distL="0" distR="0">
            <wp:extent cx="4345200" cy="2552400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49" w:rsidRDefault="00137A49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The installer now needs to stop the Workbench services so click the 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273935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button.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03F30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noProof/>
          <w:color w:val="595959" w:themeColor="text1" w:themeTint="A6"/>
          <w:szCs w:val="20"/>
          <w:lang w:val="en-GB" w:eastAsia="en-GB"/>
        </w:rPr>
        <w:drawing>
          <wp:inline distT="0" distB="0" distL="0" distR="0" wp14:anchorId="2741CEDE" wp14:editId="22A9E97A">
            <wp:extent cx="4345200" cy="2552400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The installer is now ready to apply the changes so click the 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273935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button.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C03F30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4345200" cy="2552400"/>
            <wp:effectExtent l="0" t="0" r="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sz w:val="22"/>
          <w:szCs w:val="22"/>
          <w:lang w:val="en-GB"/>
        </w:rPr>
        <w:br w:type="page"/>
      </w:r>
    </w:p>
    <w:p w:rsidR="00C1433F" w:rsidRPr="00C1433F" w:rsidRDefault="005B5499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lastRenderedPageBreak/>
        <w:drawing>
          <wp:inline distT="0" distB="0" distL="0" distR="0">
            <wp:extent cx="4345200" cy="255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A licence is not required for this patch so click 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273935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273935" w:rsidRDefault="005B5499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4345200" cy="2552400"/>
            <wp:effectExtent l="0" t="0" r="0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6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935" w:rsidRDefault="00273935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Click the 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375B16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button to restart the server.</w:t>
      </w:r>
      <w:r w:rsidR="00A158D0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</w:t>
      </w:r>
      <w:r w:rsidR="00375B16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Alternatively,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you can click [</w:t>
      </w:r>
      <w:r w:rsidR="00A158D0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 wi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ll restart Windows myself later]</w:t>
      </w:r>
      <w:r w:rsidR="00A158D0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and then click 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="00A76072" w:rsidRPr="00375B16">
        <w:rPr>
          <w:rFonts w:ascii="Open Sans" w:hAnsi="Open Sans" w:cs="Open Sans"/>
          <w:color w:val="595959" w:themeColor="text1" w:themeTint="A6"/>
          <w:szCs w:val="20"/>
          <w:lang w:val="en-GB"/>
        </w:rPr>
        <w:t>Next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="00375B16" w:rsidRPr="00375B16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and</w:t>
      </w:r>
      <w:r w:rsidR="00A76072" w:rsidRPr="00375B16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="00A76072" w:rsidRPr="00375B16">
        <w:rPr>
          <w:rFonts w:ascii="Open Sans" w:hAnsi="Open Sans" w:cs="Open Sans"/>
          <w:color w:val="595959" w:themeColor="text1" w:themeTint="A6"/>
          <w:szCs w:val="20"/>
          <w:lang w:val="en-GB"/>
        </w:rPr>
        <w:t>Close</w:t>
      </w:r>
      <w:r w:rsidR="00375B16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="00A158D0" w:rsidRPr="00375B16">
        <w:rPr>
          <w:rFonts w:ascii="Open Sans" w:hAnsi="Open Sans" w:cs="Open Sans"/>
          <w:color w:val="595959" w:themeColor="text1" w:themeTint="A6"/>
          <w:szCs w:val="20"/>
          <w:lang w:val="en-GB"/>
        </w:rPr>
        <w:t>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A76072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noProof/>
          <w:color w:val="595959" w:themeColor="text1" w:themeTint="A6"/>
          <w:szCs w:val="20"/>
          <w:lang w:val="en-GB" w:eastAsia="en-GB"/>
        </w:rPr>
        <w:drawing>
          <wp:inline distT="0" distB="0" distL="0" distR="0" wp14:anchorId="64F55A66" wp14:editId="3399DDA9">
            <wp:extent cx="4345200" cy="2552400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D0" w:rsidRPr="001F6BCD" w:rsidRDefault="00A158D0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A158D0" w:rsidRPr="001F6BCD" w:rsidRDefault="00721674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noProof/>
          <w:color w:val="595959" w:themeColor="text1" w:themeTint="A6"/>
          <w:szCs w:val="20"/>
          <w:lang w:val="en-GB" w:eastAsia="en-GB"/>
        </w:rPr>
        <w:lastRenderedPageBreak/>
        <w:drawing>
          <wp:inline distT="0" distB="0" distL="0" distR="0" wp14:anchorId="30D977BC" wp14:editId="21D32AE2">
            <wp:extent cx="4345200" cy="2552400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2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B62" w:rsidRPr="001F6BCD" w:rsidRDefault="005A6B62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5A6B62" w:rsidRPr="001F6BCD" w:rsidRDefault="005A6B62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If you chose to restart later, it is recommended that you perform a Stop and Start of the Workbench Guardian service.</w:t>
      </w:r>
    </w:p>
    <w:p w:rsidR="005A6B62" w:rsidRDefault="005A6B62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375B16" w:rsidRDefault="005A6B62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5239482" cy="222916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B16" w:rsidRDefault="00375B16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If you have </w:t>
      </w:r>
      <w:proofErr w:type="spellStart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IVPro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then after the server has restarted go back to the WebObjects Monitor in Internet Explorer and press the 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[</w:t>
      </w:r>
      <w:r w:rsidRPr="00531B65">
        <w:rPr>
          <w:rFonts w:ascii="Open Sans" w:hAnsi="Open Sans" w:cs="Open Sans"/>
          <w:color w:val="595959" w:themeColor="text1" w:themeTint="A6"/>
          <w:szCs w:val="20"/>
          <w:lang w:val="en-GB"/>
        </w:rPr>
        <w:t>Detail View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]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button.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noProof/>
          <w:sz w:val="22"/>
          <w:szCs w:val="22"/>
          <w:lang w:val="en-GB" w:eastAsia="en-GB"/>
        </w:rPr>
        <w:lastRenderedPageBreak/>
        <w:drawing>
          <wp:inline distT="0" distB="0" distL="0" distR="0" wp14:anchorId="7F58E5BD" wp14:editId="10727A20">
            <wp:extent cx="5274310" cy="3988435"/>
            <wp:effectExtent l="19050" t="0" r="2540" b="0"/>
            <wp:docPr id="22" name="Picture 21" descr="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A49" w:rsidRDefault="00137A49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137A49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Under </w:t>
      </w: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Auto Recover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click on the White 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‘</w:t>
      </w:r>
      <w:r w:rsidRPr="00531B65">
        <w:rPr>
          <w:rFonts w:ascii="Open Sans" w:hAnsi="Open Sans" w:cs="Open Sans"/>
          <w:color w:val="595959" w:themeColor="text1" w:themeTint="A6"/>
          <w:szCs w:val="20"/>
          <w:lang w:val="en-GB"/>
        </w:rPr>
        <w:t>OFF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#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icon and it should turn to a Green 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‘</w:t>
      </w:r>
      <w:r w:rsidRPr="00531B65">
        <w:rPr>
          <w:rFonts w:ascii="Open Sans" w:hAnsi="Open Sans" w:cs="Open Sans"/>
          <w:color w:val="595959" w:themeColor="text1" w:themeTint="A6"/>
          <w:szCs w:val="20"/>
          <w:lang w:val="en-GB"/>
        </w:rPr>
        <w:t>ON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’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. After a refreshing a couple of times the </w:t>
      </w:r>
      <w:r w:rsidRPr="00531B65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Status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should turn back to a Green 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‘</w:t>
      </w:r>
      <w:r w:rsidRPr="00531B65">
        <w:rPr>
          <w:rFonts w:ascii="Open Sans" w:hAnsi="Open Sans" w:cs="Open Sans"/>
          <w:color w:val="595959" w:themeColor="text1" w:themeTint="A6"/>
          <w:szCs w:val="20"/>
          <w:lang w:val="en-GB"/>
        </w:rPr>
        <w:t>ON</w:t>
      </w:r>
      <w:r w:rsidR="00531B65">
        <w:rPr>
          <w:rFonts w:ascii="Open Sans" w:hAnsi="Open Sans" w:cs="Open Sans"/>
          <w:color w:val="595959" w:themeColor="text1" w:themeTint="A6"/>
          <w:szCs w:val="20"/>
          <w:lang w:val="en-GB"/>
        </w:rPr>
        <w:t>’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. </w:t>
      </w:r>
      <w:proofErr w:type="spellStart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IVPro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has now been restarted and you can close IE.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noProof/>
          <w:color w:val="595959" w:themeColor="text1" w:themeTint="A6"/>
          <w:szCs w:val="20"/>
          <w:lang w:val="en-GB" w:eastAsia="en-GB"/>
        </w:rPr>
        <w:drawing>
          <wp:inline distT="0" distB="0" distL="0" distR="0" wp14:anchorId="3651249D" wp14:editId="61F65B52">
            <wp:extent cx="5274310" cy="4218940"/>
            <wp:effectExtent l="19050" t="0" r="2540" b="0"/>
            <wp:docPr id="23" name="Picture 22" descr="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lastRenderedPageBreak/>
        <w:t xml:space="preserve">If you have </w:t>
      </w:r>
      <w:proofErr w:type="spellStart"/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t>IntraVista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rename the </w:t>
      </w:r>
      <w:proofErr w:type="spellStart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QwbCgi.old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file to </w:t>
      </w:r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QwbCgi.exe</w:t>
      </w:r>
      <w:r w:rsidR="00721674" w:rsidRPr="00531B65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or </w:t>
      </w:r>
      <w:r w:rsidR="00721674"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QwbCgi.dll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in the </w:t>
      </w:r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</w:t>
      </w:r>
      <w:proofErr w:type="spellStart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Inetpub</w:t>
      </w:r>
      <w:proofErr w:type="spellEnd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</w:t>
      </w:r>
      <w:proofErr w:type="spellStart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ivscripts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folder.</w:t>
      </w:r>
    </w:p>
    <w:p w:rsidR="00531B65" w:rsidRPr="001F6BCD" w:rsidRDefault="00531B65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37A49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Regarding upgrading Workbench clients, just run the client, and once the client connects to the server, the upgraded files will automatically be downloaded.</w:t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FF7176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3654000" cy="3042000"/>
            <wp:effectExtent l="0" t="0" r="381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4000" cy="30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C1433F" w:rsidRPr="00C1433F" w:rsidRDefault="00D338D5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3448531" cy="2048161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3F" w:rsidRPr="00C1433F" w:rsidRDefault="00C1433F" w:rsidP="00C1433F">
      <w:pPr>
        <w:rPr>
          <w:rFonts w:asciiTheme="minorHAnsi" w:hAnsiTheme="minorHAnsi" w:cs="Segoe UI"/>
          <w:sz w:val="22"/>
          <w:szCs w:val="22"/>
          <w:lang w:val="en-GB"/>
        </w:rPr>
      </w:pPr>
      <w:r w:rsidRPr="00C1433F">
        <w:rPr>
          <w:rFonts w:asciiTheme="minorHAnsi" w:hAnsiTheme="minorHAnsi" w:cs="Segoe UI"/>
          <w:sz w:val="22"/>
          <w:szCs w:val="22"/>
          <w:lang w:val="en-GB"/>
        </w:rPr>
        <w:br w:type="page"/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b/>
          <w:color w:val="595959" w:themeColor="text1" w:themeTint="A6"/>
          <w:szCs w:val="20"/>
          <w:lang w:val="en-GB"/>
        </w:rPr>
        <w:lastRenderedPageBreak/>
        <w:t>Workbench Office Add-ins</w:t>
      </w:r>
    </w:p>
    <w:p w:rsidR="00C1433F" w:rsidRPr="001F6BCD" w:rsidRDefault="00C1433F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C1433F" w:rsidRPr="001F6BCD" w:rsidRDefault="00E67797" w:rsidP="00E67797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Depending on the version of Workbench you are upgrading from</w:t>
      </w:r>
      <w:r w:rsidR="009C669D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you 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might</w:t>
      </w:r>
      <w:r w:rsidR="009C669D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need to install the new versions provided with Patch 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10</w:t>
      </w:r>
      <w:r w:rsidR="009C669D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. 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Check the version number of the add-ins in Word and Excel, and if they are not 11.1.8.100 then they will need to be re-installed.</w:t>
      </w:r>
    </w:p>
    <w:p w:rsidR="00F67350" w:rsidRPr="001F6BCD" w:rsidRDefault="00F67350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F67350" w:rsidRPr="001F6BCD" w:rsidRDefault="00F67350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In the </w:t>
      </w:r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</w:t>
      </w:r>
      <w:r w:rsidR="00E67797"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B11SP1Patch10</w:t>
      </w:r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\Workbench Office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folder in </w:t>
      </w:r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workbench\Ideagen\</w:t>
      </w:r>
      <w:proofErr w:type="spellStart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WBPro</w:t>
      </w:r>
      <w:proofErr w:type="spellEnd"/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, Copy the three folders and paste them into the </w:t>
      </w:r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\workbench\</w:t>
      </w:r>
      <w:proofErr w:type="spellStart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qwb_pro</w:t>
      </w:r>
      <w:proofErr w:type="spellEnd"/>
      <w:r w:rsidRPr="00531B65">
        <w:rPr>
          <w:rFonts w:ascii="Open Sans" w:hAnsi="Open Sans" w:cs="Open Sans"/>
          <w:i/>
          <w:color w:val="595959" w:themeColor="text1" w:themeTint="A6"/>
          <w:szCs w:val="20"/>
          <w:lang w:val="en-GB"/>
        </w:rPr>
        <w:t>\Clients\Workbench Office Installers</w:t>
      </w: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 folder. It is recommended that you remove the existing folders to avoid confusion.</w:t>
      </w:r>
    </w:p>
    <w:p w:rsidR="00F67350" w:rsidRPr="001F6BCD" w:rsidRDefault="00F67350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F67350" w:rsidRPr="001F6BCD" w:rsidRDefault="00F67350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noProof/>
          <w:color w:val="595959" w:themeColor="text1" w:themeTint="A6"/>
          <w:szCs w:val="20"/>
          <w:lang w:val="en-GB" w:eastAsia="en-GB"/>
        </w:rPr>
        <w:drawing>
          <wp:inline distT="0" distB="0" distL="0" distR="0" wp14:anchorId="169AC4FA" wp14:editId="4A835D66">
            <wp:extent cx="4503600" cy="27504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600" cy="27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26C1" w:rsidRPr="001F6BCD" w:rsidRDefault="00EF26C1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</w:p>
    <w:p w:rsidR="00EF26C1" w:rsidRPr="001F6BCD" w:rsidRDefault="00EF26C1" w:rsidP="00C1433F">
      <w:pPr>
        <w:rPr>
          <w:rFonts w:ascii="Open Sans" w:hAnsi="Open Sans" w:cs="Open Sans"/>
          <w:color w:val="595959" w:themeColor="text1" w:themeTint="A6"/>
          <w:szCs w:val="20"/>
          <w:lang w:val="en-GB"/>
        </w:rPr>
      </w:pPr>
      <w:r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 xml:space="preserve">Once installed the add-in versions should be 11.1.8.100 for Excel </w:t>
      </w:r>
      <w:r w:rsidR="00526681" w:rsidRPr="001F6BCD">
        <w:rPr>
          <w:rFonts w:ascii="Open Sans" w:hAnsi="Open Sans" w:cs="Open Sans"/>
          <w:color w:val="595959" w:themeColor="text1" w:themeTint="A6"/>
          <w:szCs w:val="20"/>
          <w:lang w:val="en-GB"/>
        </w:rPr>
        <w:t>&amp; Word.</w:t>
      </w:r>
    </w:p>
    <w:p w:rsidR="00EF26C1" w:rsidRDefault="00EF26C1" w:rsidP="00C1433F">
      <w:pPr>
        <w:rPr>
          <w:rFonts w:asciiTheme="minorHAnsi" w:hAnsiTheme="minorHAnsi" w:cs="Segoe UI"/>
          <w:sz w:val="22"/>
          <w:szCs w:val="22"/>
          <w:lang w:val="en-GB"/>
        </w:rPr>
      </w:pPr>
    </w:p>
    <w:p w:rsidR="00EF26C1" w:rsidRDefault="00EF26C1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3476625" cy="1381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681" w:rsidRPr="00C1433F" w:rsidRDefault="00526681" w:rsidP="00C1433F">
      <w:pPr>
        <w:rPr>
          <w:rFonts w:asciiTheme="minorHAnsi" w:hAnsiTheme="minorHAnsi" w:cs="Segoe UI"/>
          <w:sz w:val="22"/>
          <w:szCs w:val="22"/>
          <w:lang w:val="en-GB"/>
        </w:rPr>
      </w:pPr>
      <w:r>
        <w:rPr>
          <w:rFonts w:asciiTheme="minorHAnsi" w:hAnsiTheme="minorHAnsi" w:cs="Segoe UI"/>
          <w:noProof/>
          <w:sz w:val="22"/>
          <w:szCs w:val="22"/>
          <w:lang w:val="en-GB" w:eastAsia="en-GB"/>
        </w:rPr>
        <w:drawing>
          <wp:inline distT="0" distB="0" distL="0" distR="0">
            <wp:extent cx="2466975" cy="1381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3F" w:rsidRPr="00084730" w:rsidRDefault="00C1433F" w:rsidP="0001333C">
      <w:pPr>
        <w:rPr>
          <w:rFonts w:asciiTheme="minorHAnsi" w:hAnsiTheme="minorHAnsi" w:cs="Segoe UI"/>
          <w:sz w:val="22"/>
          <w:szCs w:val="22"/>
        </w:rPr>
      </w:pPr>
    </w:p>
    <w:p w:rsidR="0001333C" w:rsidRPr="0001333C" w:rsidRDefault="0001333C" w:rsidP="00E265BD">
      <w:pPr>
        <w:rPr>
          <w:lang w:val="en-GB"/>
        </w:rPr>
      </w:pPr>
    </w:p>
    <w:sectPr w:rsidR="0001333C" w:rsidRPr="0001333C" w:rsidSect="001F6BCD">
      <w:headerReference w:type="default" r:id="rId28"/>
      <w:headerReference w:type="first" r:id="rId29"/>
      <w:type w:val="continuous"/>
      <w:pgSz w:w="11907" w:h="16840" w:code="9"/>
      <w:pgMar w:top="1134" w:right="1134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AB" w:rsidRDefault="00E813AB" w:rsidP="008C536D">
      <w:r>
        <w:separator/>
      </w:r>
    </w:p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/>
  </w:endnote>
  <w:endnote w:type="continuationSeparator" w:id="0">
    <w:p w:rsidR="00E813AB" w:rsidRDefault="00E813AB" w:rsidP="008C536D">
      <w:r>
        <w:continuationSeparator/>
      </w:r>
    </w:p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AB" w:rsidRDefault="00E813AB" w:rsidP="008C536D">
      <w:r>
        <w:separator/>
      </w:r>
    </w:p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/>
  </w:footnote>
  <w:footnote w:type="continuationSeparator" w:id="0">
    <w:p w:rsidR="00E813AB" w:rsidRDefault="00E813AB" w:rsidP="008C536D">
      <w:r>
        <w:continuationSeparator/>
      </w:r>
    </w:p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 w:rsidP="008C536D"/>
    <w:p w:rsidR="00E813AB" w:rsidRDefault="00E81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0D1" w:rsidRDefault="006D70D1">
    <w:pPr>
      <w:pStyle w:val="Header"/>
    </w:pPr>
  </w:p>
  <w:p w:rsidR="00B7668C" w:rsidRDefault="00B76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CD" w:rsidRDefault="001F6BC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1165FB47" wp14:editId="10659E8C">
          <wp:simplePos x="0" y="0"/>
          <wp:positionH relativeFrom="page">
            <wp:posOffset>-9525</wp:posOffset>
          </wp:positionH>
          <wp:positionV relativeFrom="paragraph">
            <wp:posOffset>-450215</wp:posOffset>
          </wp:positionV>
          <wp:extent cx="7559675" cy="10693191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0696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A41"/>
    <w:multiLevelType w:val="hybridMultilevel"/>
    <w:tmpl w:val="AB3210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C65DA"/>
    <w:multiLevelType w:val="hybridMultilevel"/>
    <w:tmpl w:val="44584E7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314521"/>
    <w:multiLevelType w:val="hybridMultilevel"/>
    <w:tmpl w:val="0CE05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67E9A"/>
    <w:multiLevelType w:val="hybridMultilevel"/>
    <w:tmpl w:val="5FA48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007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8554C4"/>
    <w:multiLevelType w:val="hybridMultilevel"/>
    <w:tmpl w:val="3718E9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A475F"/>
    <w:multiLevelType w:val="hybridMultilevel"/>
    <w:tmpl w:val="9682804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6C6681B"/>
    <w:multiLevelType w:val="hybridMultilevel"/>
    <w:tmpl w:val="070CDC3E"/>
    <w:lvl w:ilvl="0" w:tplc="C12AD9C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90EAC"/>
    <w:multiLevelType w:val="hybridMultilevel"/>
    <w:tmpl w:val="304C2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221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B312A04"/>
    <w:multiLevelType w:val="hybridMultilevel"/>
    <w:tmpl w:val="1DD85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C11DF"/>
    <w:multiLevelType w:val="hybridMultilevel"/>
    <w:tmpl w:val="06DEEA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8A1FEF"/>
    <w:multiLevelType w:val="hybridMultilevel"/>
    <w:tmpl w:val="9686406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BD64421"/>
    <w:multiLevelType w:val="hybridMultilevel"/>
    <w:tmpl w:val="EB2EC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51BE2"/>
    <w:multiLevelType w:val="hybridMultilevel"/>
    <w:tmpl w:val="CA743B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2461D"/>
    <w:multiLevelType w:val="hybridMultilevel"/>
    <w:tmpl w:val="1F4AE0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501604"/>
    <w:multiLevelType w:val="hybridMultilevel"/>
    <w:tmpl w:val="94DC5838"/>
    <w:lvl w:ilvl="0" w:tplc="60AE91B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185619"/>
    <w:multiLevelType w:val="singleLevel"/>
    <w:tmpl w:val="6B865F56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DD646C9"/>
    <w:multiLevelType w:val="hybridMultilevel"/>
    <w:tmpl w:val="A692C3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6"/>
  </w:num>
  <w:num w:numId="13">
    <w:abstractNumId w:val="14"/>
  </w:num>
  <w:num w:numId="14">
    <w:abstractNumId w:val="8"/>
  </w:num>
  <w:num w:numId="15">
    <w:abstractNumId w:val="5"/>
  </w:num>
  <w:num w:numId="16">
    <w:abstractNumId w:val="11"/>
  </w:num>
  <w:num w:numId="17">
    <w:abstractNumId w:val="2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 opacity="6554f" type="fra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GS_CurrentUserID" w:val="wil002"/>
    <w:docVar w:name="IGS_CurrentUserName" w:val="Keith Wilson"/>
    <w:docVar w:name="IGS_DatabaseAlias" w:val="Ideagen ISO9000"/>
    <w:docVar w:name="IGS_DatabasePath" w:val="IS003-3:C:\workbench\qwb_data\IdeaGenIso9000\IDEAGENISO9000.FDB"/>
    <w:docVar w:name="IGS_DocAssignedCRQs" w:val="&lt;No Data&gt;"/>
    <w:docVar w:name="IGS_DocAuthorName" w:val="Bill Bowes"/>
    <w:docVar w:name="IGS_DocCategory" w:val="Course Notes/Manuals"/>
    <w:docVar w:name="IGS_DocControlledUsingWorkbench" w:val="This document is controlled using Workbench"/>
    <w:docVar w:name="IGS_DocCreationDate" w:val="07/04/1999"/>
    <w:docVar w:name="IGS_DocDepartment" w:val="Ideagen Training"/>
    <w:docVar w:name="IGS_DocIssueDate" w:val="19/07/2013"/>
    <w:docVar w:name="IGS_DocIssuedRevision" w:val="11.00"/>
    <w:docVar w:name="IGS_DocLastApproverDate" w:val="19/07/2013"/>
    <w:docVar w:name="IGS_DocLastApproverName" w:val="Steve Lane"/>
    <w:docVar w:name="IGS_DocLastApprReason" w:val="&lt;No Data&gt;"/>
    <w:docVar w:name="IGS_DocLastButOneApprDate" w:val="04/07/2013"/>
    <w:docVar w:name="IGS_DocLastButOneApprName" w:val="Tom Boylan"/>
    <w:docVar w:name="IGS_DocLastButOneApprReason" w:val="&lt;No Data&gt;"/>
    <w:docVar w:name="IGS_DocLastButOneUnschRevDate" w:val="&lt;No Data&gt;"/>
    <w:docVar w:name="IGS_DocLastButOneUnschRevID" w:val="&lt;No Data&gt;"/>
    <w:docVar w:name="IGS_DocLastButThreeApprDate" w:val="&lt;No Data&gt;"/>
    <w:docVar w:name="IGS_DocLastButThreeApprName" w:val="&lt;No Data&gt;"/>
    <w:docVar w:name="IGS_DocLastButThreeApprReason" w:val="&lt;No Data&gt;"/>
    <w:docVar w:name="IGS_DocLastButThreeUnschRevDate" w:val="&lt;No Data&gt;"/>
    <w:docVar w:name="IGS_DocLastButThreeUnschRevID" w:val="&lt;No Data&gt;"/>
    <w:docVar w:name="IGS_DocLastButTwoApprDate" w:val="01/07/2013"/>
    <w:docVar w:name="IGS_DocLastButTwoApprName" w:val="Rubina Hajat"/>
    <w:docVar w:name="IGS_DocLastButTwoApprReason" w:val="&lt;No Data&gt;"/>
    <w:docVar w:name="IGS_DocLastButTwoUnschRevDate" w:val="&lt;No Data&gt;"/>
    <w:docVar w:name="IGS_DocLastButTwoUnschRevID" w:val="&lt;No Data&gt;"/>
    <w:docVar w:name="IGS_DocLastCompSchedRevDate" w:val="24/10/2013"/>
    <w:docVar w:name="IGS_DocLastCompSchedRevID" w:val="2"/>
    <w:docVar w:name="IGS_DocLastCompUnschRevDate" w:val="&lt;No Data&gt;"/>
    <w:docVar w:name="IGS_DocLastCompUnschRevID" w:val="&lt;No Data&gt;"/>
    <w:docVar w:name="IGS_DocLastModifiedDate" w:val="01/07/2013"/>
    <w:docVar w:name="IGS_DocLastStatus" w:val="&lt;No Data&gt;"/>
    <w:docVar w:name="IGS_DocLastUnschRevDate" w:val="&lt;No Data&gt;"/>
    <w:docVar w:name="IGS_DocLastUnschRevID" w:val="&lt;No Data&gt;"/>
    <w:docVar w:name="IGS_DocOwnerName" w:val="Bill Bowes"/>
    <w:docVar w:name="IGS_DocRetentionDate" w:val="19/07/2016"/>
    <w:docVar w:name="IGS_DocReviewResponsible" w:val="Bill Bowes"/>
    <w:docVar w:name="IGS_DocRevision" w:val="11.00"/>
    <w:docVar w:name="IGS_DocScheduledReviewDate" w:val="&lt;No Data&gt;"/>
    <w:docVar w:name="IGS_DocScheduledReviewID" w:val="0"/>
    <w:docVar w:name="IGS_DocSerialNo" w:val="197"/>
    <w:docVar w:name="IGS_DocStatus" w:val="ISSUED"/>
    <w:docVar w:name="IGS_DocStatusViewed" w:val="&lt;No Data&gt;"/>
    <w:docVar w:name="IGS_DocTitle" w:val="Audits Modules Notes"/>
    <w:docVar w:name="IGS_DocType" w:val="Training Notes"/>
    <w:docVar w:name="IGS_DocUncontrolledWhenPrinted" w:val="This document is uncontrolled when printed"/>
    <w:docVar w:name="IGS_DocUserRef" w:val="Training"/>
    <w:docVar w:name="IGS_DocViewedRevIssDate" w:val="19/07/2013"/>
    <w:docVar w:name="IGS_IsDocEditable" w:val="0"/>
    <w:docVar w:name="IGS_IsNewDoc" w:val="0"/>
    <w:docVar w:name="IGS2008_CurrentUserIDVar" w:val="wil002"/>
    <w:docVar w:name="IGS2008_CurrentUserNameVar" w:val="Keith Wilson"/>
    <w:docVar w:name="IGS2008_DatabaseAliasVar" w:val="Ideagen ISO9000"/>
    <w:docVar w:name="IGS2008_DatabasePathVar" w:val="IS003-3:C:\workbench\qwb_data\IdeaGenIso9000\IDEAGENISO9000.FDB"/>
    <w:docVar w:name="IGS2008_DocAppr1DateVar" w:val="19/07/2013"/>
    <w:docVar w:name="IGS2008_DocAppr1NameVar" w:val="Steve Lane"/>
    <w:docVar w:name="IGS2008_DocAppr2DateVar" w:val="04/07/2013"/>
    <w:docVar w:name="IGS2008_DocAppr2NameVar" w:val="Tom Boylan"/>
    <w:docVar w:name="IGS2008_DocAppr3DateVar" w:val="01/07/2013"/>
    <w:docVar w:name="IGS2008_DocAppr3NameVar" w:val="Rubina Hajat"/>
    <w:docVar w:name="IGS2008_DocAuthorNameVar" w:val="Bill Bowes"/>
    <w:docVar w:name="IGS2008_DocCategoryVar" w:val="Course Notes/Manuals"/>
    <w:docVar w:name="IGS2008_DocControlledUsingWorkbench" w:val="This document is controlled using Workbench"/>
    <w:docVar w:name="IGS2008_DocCreationDateVar" w:val="07/04/1999"/>
    <w:docVar w:name="IGS2008_DocDepartmentVar" w:val="Ideagen Training"/>
    <w:docVar w:name="IGS2008_DocIssueDateVar" w:val="19/07/2013"/>
    <w:docVar w:name="IGS2008_DocIssuedRevVar" w:val="11.00"/>
    <w:docVar w:name="IGS2008_DocLastCompSchedRevDateVar" w:val="24/10/2013"/>
    <w:docVar w:name="IGS2008_DocLastCompSchedRevIDVar" w:val="2"/>
    <w:docVar w:name="IGS2008_DocLastModDateVar" w:val="01/07/2013"/>
    <w:docVar w:name="IGS2008_DocLastStatusVar" w:val="4"/>
    <w:docVar w:name="IGS2008_DocOwnerNameVar" w:val="Bill Bowes"/>
    <w:docVar w:name="IGS2008_DocRetentionDateVar" w:val="19/07/2016"/>
    <w:docVar w:name="IGS2008_DocReviewResponsible" w:val="Bill Bowes"/>
    <w:docVar w:name="IGS2008_DocRevisionVar" w:val="11.00"/>
    <w:docVar w:name="IGS2008_DocSchedRevIDVar" w:val="0"/>
    <w:docVar w:name="IGS2008_DocSerialNoVar" w:val="197"/>
    <w:docVar w:name="IGS2008_DocStatusVar" w:val="ISSUED"/>
    <w:docVar w:name="IGS2008_DocStatusViewedVar" w:val="10"/>
    <w:docVar w:name="IGS2008_DocTitleVar" w:val="Audits Modules Notes"/>
    <w:docVar w:name="IGS2008_DocTypeVar" w:val="Training Notes"/>
    <w:docVar w:name="IGS2008_DocUncontrolledWhenPrinted" w:val="This document is uncontrolled when printed"/>
    <w:docVar w:name="IGS2008_DocUserRefVar" w:val="Training"/>
    <w:docVar w:name="IGS2008_DocViewVerIssDate" w:val="19/07/2013"/>
    <w:docVar w:name="IGS2008_IsDocBeingEdited" w:val="0"/>
    <w:docVar w:name="IGS2008_IsDocExternal" w:val="FALSE"/>
    <w:docVar w:name="IGS2008_IsNewDocVar" w:val="0"/>
    <w:docVar w:name="IGS2008_SecProtectDocAllowCopy" w:val="FALSE"/>
    <w:docVar w:name="IGS2008_SecProtectDocAllowEdit" w:val="FALSE"/>
    <w:docVar w:name="IGS2008_SecProtectDocAllowPrint" w:val="FALSE"/>
    <w:docVar w:name="IGS2008_SecProtectDocAllowPrintPrev" w:val="FALSE"/>
    <w:docVar w:name="IGS2008_SecProtectDocAllowSaveAs" w:val="FALSE"/>
    <w:docVar w:name="IGS2008_SecProtectDocRequireAddin" w:val="FALSE"/>
    <w:docVar w:name="IGS2008_SecProtectDocument" w:val="FALSE"/>
    <w:docVar w:name="IGS2008_Translations" w:val="0"/>
  </w:docVars>
  <w:rsids>
    <w:rsidRoot w:val="00D45EB7"/>
    <w:rsid w:val="00003496"/>
    <w:rsid w:val="0001333C"/>
    <w:rsid w:val="000275CD"/>
    <w:rsid w:val="0003725A"/>
    <w:rsid w:val="00046A94"/>
    <w:rsid w:val="000560B3"/>
    <w:rsid w:val="000737C7"/>
    <w:rsid w:val="00084730"/>
    <w:rsid w:val="00085AC4"/>
    <w:rsid w:val="00097C1B"/>
    <w:rsid w:val="000B10F2"/>
    <w:rsid w:val="000C119A"/>
    <w:rsid w:val="000C4F92"/>
    <w:rsid w:val="000C6717"/>
    <w:rsid w:val="000C67EA"/>
    <w:rsid w:val="00100F75"/>
    <w:rsid w:val="00101FFC"/>
    <w:rsid w:val="00104B28"/>
    <w:rsid w:val="00110EDF"/>
    <w:rsid w:val="00115524"/>
    <w:rsid w:val="00121970"/>
    <w:rsid w:val="00126A19"/>
    <w:rsid w:val="001324C8"/>
    <w:rsid w:val="001358BD"/>
    <w:rsid w:val="00137A49"/>
    <w:rsid w:val="001467DD"/>
    <w:rsid w:val="00150B18"/>
    <w:rsid w:val="00163C06"/>
    <w:rsid w:val="001678E7"/>
    <w:rsid w:val="001709C4"/>
    <w:rsid w:val="00176130"/>
    <w:rsid w:val="00194E29"/>
    <w:rsid w:val="001B3535"/>
    <w:rsid w:val="001B7B21"/>
    <w:rsid w:val="001C249C"/>
    <w:rsid w:val="001D1A84"/>
    <w:rsid w:val="001D402F"/>
    <w:rsid w:val="001E137C"/>
    <w:rsid w:val="001F657B"/>
    <w:rsid w:val="001F6858"/>
    <w:rsid w:val="001F6BCD"/>
    <w:rsid w:val="001F7423"/>
    <w:rsid w:val="00232C46"/>
    <w:rsid w:val="00237704"/>
    <w:rsid w:val="002463CA"/>
    <w:rsid w:val="00246590"/>
    <w:rsid w:val="002517FB"/>
    <w:rsid w:val="00252EEA"/>
    <w:rsid w:val="00260597"/>
    <w:rsid w:val="00273935"/>
    <w:rsid w:val="002A3CE2"/>
    <w:rsid w:val="002B04D9"/>
    <w:rsid w:val="002C75CC"/>
    <w:rsid w:val="002D6072"/>
    <w:rsid w:val="002F3925"/>
    <w:rsid w:val="002F5CCB"/>
    <w:rsid w:val="003069DE"/>
    <w:rsid w:val="00316B3C"/>
    <w:rsid w:val="0033694C"/>
    <w:rsid w:val="00346AAA"/>
    <w:rsid w:val="003579F6"/>
    <w:rsid w:val="00360C73"/>
    <w:rsid w:val="00361D5B"/>
    <w:rsid w:val="00375B16"/>
    <w:rsid w:val="00386A86"/>
    <w:rsid w:val="00393300"/>
    <w:rsid w:val="00394199"/>
    <w:rsid w:val="003B0097"/>
    <w:rsid w:val="003B38DE"/>
    <w:rsid w:val="003B6069"/>
    <w:rsid w:val="003C03EA"/>
    <w:rsid w:val="003E59F8"/>
    <w:rsid w:val="003F134B"/>
    <w:rsid w:val="003F2645"/>
    <w:rsid w:val="003F3CB0"/>
    <w:rsid w:val="00405ADF"/>
    <w:rsid w:val="00407106"/>
    <w:rsid w:val="004139EE"/>
    <w:rsid w:val="00424954"/>
    <w:rsid w:val="00437E67"/>
    <w:rsid w:val="004500A8"/>
    <w:rsid w:val="00450A12"/>
    <w:rsid w:val="0045611C"/>
    <w:rsid w:val="0046074F"/>
    <w:rsid w:val="004749F6"/>
    <w:rsid w:val="00482E18"/>
    <w:rsid w:val="0048565D"/>
    <w:rsid w:val="004A3A67"/>
    <w:rsid w:val="004B2C40"/>
    <w:rsid w:val="004B2E63"/>
    <w:rsid w:val="004D028D"/>
    <w:rsid w:val="004D1A5E"/>
    <w:rsid w:val="004E251C"/>
    <w:rsid w:val="004E402F"/>
    <w:rsid w:val="005032D4"/>
    <w:rsid w:val="00510FA3"/>
    <w:rsid w:val="00514F6E"/>
    <w:rsid w:val="00515143"/>
    <w:rsid w:val="00520B65"/>
    <w:rsid w:val="00526681"/>
    <w:rsid w:val="00531B65"/>
    <w:rsid w:val="00537007"/>
    <w:rsid w:val="00544FB5"/>
    <w:rsid w:val="00571713"/>
    <w:rsid w:val="00572F39"/>
    <w:rsid w:val="005746D6"/>
    <w:rsid w:val="005830FD"/>
    <w:rsid w:val="00587937"/>
    <w:rsid w:val="005A6B62"/>
    <w:rsid w:val="005B5499"/>
    <w:rsid w:val="005C304C"/>
    <w:rsid w:val="005C49DD"/>
    <w:rsid w:val="006105DD"/>
    <w:rsid w:val="0062634A"/>
    <w:rsid w:val="00640898"/>
    <w:rsid w:val="00642FE1"/>
    <w:rsid w:val="0066259C"/>
    <w:rsid w:val="00671330"/>
    <w:rsid w:val="006713CD"/>
    <w:rsid w:val="00673C48"/>
    <w:rsid w:val="006757CD"/>
    <w:rsid w:val="00680AEC"/>
    <w:rsid w:val="00685BA9"/>
    <w:rsid w:val="00695D8F"/>
    <w:rsid w:val="006A5288"/>
    <w:rsid w:val="006B4CBB"/>
    <w:rsid w:val="006D2432"/>
    <w:rsid w:val="006D6989"/>
    <w:rsid w:val="006D70D1"/>
    <w:rsid w:val="006E0389"/>
    <w:rsid w:val="006E2242"/>
    <w:rsid w:val="006F5B35"/>
    <w:rsid w:val="007027B0"/>
    <w:rsid w:val="00721674"/>
    <w:rsid w:val="00730502"/>
    <w:rsid w:val="007318AF"/>
    <w:rsid w:val="0074197C"/>
    <w:rsid w:val="00747F07"/>
    <w:rsid w:val="00757A4F"/>
    <w:rsid w:val="00774C79"/>
    <w:rsid w:val="0078378B"/>
    <w:rsid w:val="00785B2D"/>
    <w:rsid w:val="007A7F54"/>
    <w:rsid w:val="007B5D04"/>
    <w:rsid w:val="0081685E"/>
    <w:rsid w:val="00821322"/>
    <w:rsid w:val="00824B03"/>
    <w:rsid w:val="00852B20"/>
    <w:rsid w:val="00861322"/>
    <w:rsid w:val="00861F30"/>
    <w:rsid w:val="008644C1"/>
    <w:rsid w:val="00874546"/>
    <w:rsid w:val="008812FD"/>
    <w:rsid w:val="00882FB7"/>
    <w:rsid w:val="00885B0B"/>
    <w:rsid w:val="00885F0E"/>
    <w:rsid w:val="0088609C"/>
    <w:rsid w:val="00896FA9"/>
    <w:rsid w:val="008A343A"/>
    <w:rsid w:val="008C0E9A"/>
    <w:rsid w:val="008C536D"/>
    <w:rsid w:val="008C6EC4"/>
    <w:rsid w:val="008E3B94"/>
    <w:rsid w:val="008E6E13"/>
    <w:rsid w:val="008E70EE"/>
    <w:rsid w:val="008F7BCC"/>
    <w:rsid w:val="00911E7B"/>
    <w:rsid w:val="00947F3A"/>
    <w:rsid w:val="009545BC"/>
    <w:rsid w:val="00955DC6"/>
    <w:rsid w:val="0096689F"/>
    <w:rsid w:val="00994BA1"/>
    <w:rsid w:val="009A4FBD"/>
    <w:rsid w:val="009B63A3"/>
    <w:rsid w:val="009C0857"/>
    <w:rsid w:val="009C54AD"/>
    <w:rsid w:val="009C669D"/>
    <w:rsid w:val="009D63BC"/>
    <w:rsid w:val="009E1AD4"/>
    <w:rsid w:val="009F246F"/>
    <w:rsid w:val="009F4461"/>
    <w:rsid w:val="00A0585F"/>
    <w:rsid w:val="00A12508"/>
    <w:rsid w:val="00A14934"/>
    <w:rsid w:val="00A158D0"/>
    <w:rsid w:val="00A15FBA"/>
    <w:rsid w:val="00A23CFA"/>
    <w:rsid w:val="00A44B09"/>
    <w:rsid w:val="00A543BD"/>
    <w:rsid w:val="00A56E04"/>
    <w:rsid w:val="00A752D0"/>
    <w:rsid w:val="00A75F03"/>
    <w:rsid w:val="00A76072"/>
    <w:rsid w:val="00A7704B"/>
    <w:rsid w:val="00A80EB6"/>
    <w:rsid w:val="00A9385F"/>
    <w:rsid w:val="00A97A71"/>
    <w:rsid w:val="00AB1763"/>
    <w:rsid w:val="00AC421E"/>
    <w:rsid w:val="00AE5AF2"/>
    <w:rsid w:val="00AF07D0"/>
    <w:rsid w:val="00B00C2B"/>
    <w:rsid w:val="00B21422"/>
    <w:rsid w:val="00B21E8D"/>
    <w:rsid w:val="00B22D5A"/>
    <w:rsid w:val="00B279C2"/>
    <w:rsid w:val="00B31231"/>
    <w:rsid w:val="00B50E78"/>
    <w:rsid w:val="00B52B7D"/>
    <w:rsid w:val="00B535DC"/>
    <w:rsid w:val="00B7668C"/>
    <w:rsid w:val="00B8500B"/>
    <w:rsid w:val="00B96BAB"/>
    <w:rsid w:val="00BA3515"/>
    <w:rsid w:val="00BB1B91"/>
    <w:rsid w:val="00BB537A"/>
    <w:rsid w:val="00BC5E04"/>
    <w:rsid w:val="00BE0E37"/>
    <w:rsid w:val="00BE118E"/>
    <w:rsid w:val="00BF1049"/>
    <w:rsid w:val="00BF1642"/>
    <w:rsid w:val="00BF4B40"/>
    <w:rsid w:val="00C03F30"/>
    <w:rsid w:val="00C1433F"/>
    <w:rsid w:val="00C2268C"/>
    <w:rsid w:val="00C23689"/>
    <w:rsid w:val="00C25A50"/>
    <w:rsid w:val="00C3768B"/>
    <w:rsid w:val="00C4236B"/>
    <w:rsid w:val="00C628CF"/>
    <w:rsid w:val="00C97C0F"/>
    <w:rsid w:val="00CB36ED"/>
    <w:rsid w:val="00CC4028"/>
    <w:rsid w:val="00CD00EE"/>
    <w:rsid w:val="00CD0C46"/>
    <w:rsid w:val="00CE22FE"/>
    <w:rsid w:val="00CF1F98"/>
    <w:rsid w:val="00CF77E3"/>
    <w:rsid w:val="00D0339F"/>
    <w:rsid w:val="00D068A2"/>
    <w:rsid w:val="00D07740"/>
    <w:rsid w:val="00D166FA"/>
    <w:rsid w:val="00D20D74"/>
    <w:rsid w:val="00D338D5"/>
    <w:rsid w:val="00D45EB7"/>
    <w:rsid w:val="00D54726"/>
    <w:rsid w:val="00D556A9"/>
    <w:rsid w:val="00D65818"/>
    <w:rsid w:val="00D75125"/>
    <w:rsid w:val="00D82341"/>
    <w:rsid w:val="00D90A09"/>
    <w:rsid w:val="00D9534C"/>
    <w:rsid w:val="00DB230C"/>
    <w:rsid w:val="00DB46F8"/>
    <w:rsid w:val="00DC0F40"/>
    <w:rsid w:val="00E111C1"/>
    <w:rsid w:val="00E178F4"/>
    <w:rsid w:val="00E2010B"/>
    <w:rsid w:val="00E261CB"/>
    <w:rsid w:val="00E265BD"/>
    <w:rsid w:val="00E31F11"/>
    <w:rsid w:val="00E67797"/>
    <w:rsid w:val="00E75BA7"/>
    <w:rsid w:val="00E813AB"/>
    <w:rsid w:val="00E91A87"/>
    <w:rsid w:val="00E9221F"/>
    <w:rsid w:val="00E9678A"/>
    <w:rsid w:val="00EA3999"/>
    <w:rsid w:val="00EA5A6B"/>
    <w:rsid w:val="00ED322A"/>
    <w:rsid w:val="00EE0380"/>
    <w:rsid w:val="00EE77AF"/>
    <w:rsid w:val="00EF26C1"/>
    <w:rsid w:val="00F07E78"/>
    <w:rsid w:val="00F26567"/>
    <w:rsid w:val="00F53333"/>
    <w:rsid w:val="00F67350"/>
    <w:rsid w:val="00F8446D"/>
    <w:rsid w:val="00F940A2"/>
    <w:rsid w:val="00FA1C61"/>
    <w:rsid w:val="00FA6245"/>
    <w:rsid w:val="00FB7EE5"/>
    <w:rsid w:val="00FC0EA0"/>
    <w:rsid w:val="00FC471B"/>
    <w:rsid w:val="00FE76F6"/>
    <w:rsid w:val="00FF029B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 opacity="6554f" type="frame"/>
    </o:shapedefaults>
    <o:shapelayout v:ext="edit">
      <o:idmap v:ext="edit" data="1"/>
    </o:shapelayout>
  </w:shapeDefaults>
  <w:decimalSymbol w:val="."/>
  <w:listSeparator w:val=","/>
  <w14:docId w14:val="52F6280B"/>
  <w15:docId w15:val="{5EDB421F-1463-4DA2-8F2E-F8527AC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713CD"/>
    <w:rPr>
      <w:rFonts w:ascii="Verdana" w:hAnsi="Verdana"/>
      <w:szCs w:val="16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2EEA"/>
    <w:pPr>
      <w:keepNext/>
      <w:outlineLvl w:val="0"/>
    </w:pPr>
    <w:rPr>
      <w:b/>
      <w:lang w:val="x-none"/>
    </w:rPr>
  </w:style>
  <w:style w:type="paragraph" w:styleId="Heading2">
    <w:name w:val="heading 2"/>
    <w:basedOn w:val="Normal"/>
    <w:next w:val="Normal"/>
    <w:qFormat/>
    <w:rsid w:val="002B04D9"/>
    <w:pPr>
      <w:keepNext/>
      <w:outlineLvl w:val="1"/>
    </w:pPr>
    <w:rPr>
      <w:b/>
      <w:sz w:val="18"/>
      <w:lang w:val="en-GB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jc w:val="both"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  <w:lang w:val="en-GB"/>
    </w:rPr>
  </w:style>
  <w:style w:type="paragraph" w:styleId="Heading5">
    <w:name w:val="heading 5"/>
    <w:basedOn w:val="Normal"/>
    <w:next w:val="Normal"/>
    <w:qFormat/>
    <w:rsid w:val="008C536D"/>
    <w:pPr>
      <w:keepNext/>
      <w:jc w:val="both"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rsid w:val="00D07740"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440" w:right="1646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Times New Roman" w:hAnsi="Times New Roman"/>
      <w:szCs w:val="20"/>
      <w:lang w:val="en-GB"/>
    </w:rPr>
  </w:style>
  <w:style w:type="paragraph" w:styleId="BodyTextIndent2">
    <w:name w:val="Body Text Indent 2"/>
    <w:basedOn w:val="Normal"/>
    <w:pPr>
      <w:ind w:left="720"/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3">
    <w:name w:val="Body Text 3"/>
    <w:basedOn w:val="Normal"/>
    <w:rPr>
      <w:sz w:val="24"/>
      <w:lang w:val="en-GB"/>
    </w:rPr>
  </w:style>
  <w:style w:type="paragraph" w:styleId="BodyTextIndent3">
    <w:name w:val="Body Text Indent 3"/>
    <w:basedOn w:val="Normal"/>
    <w:pPr>
      <w:ind w:left="720"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DC0F40"/>
    <w:rPr>
      <w:b/>
      <w:sz w:val="32"/>
      <w:lang w:val="x-none"/>
    </w:rPr>
  </w:style>
  <w:style w:type="paragraph" w:customStyle="1" w:styleId="Base">
    <w:name w:val="Base"/>
    <w:autoRedefine/>
    <w:pPr>
      <w:widowControl w:val="0"/>
      <w:tabs>
        <w:tab w:val="left" w:pos="9923"/>
      </w:tabs>
      <w:autoSpaceDE w:val="0"/>
      <w:autoSpaceDN w:val="0"/>
      <w:spacing w:before="100" w:beforeAutospacing="1" w:after="120" w:line="300" w:lineRule="exact"/>
      <w:ind w:right="49"/>
    </w:pPr>
    <w:rPr>
      <w:rFonts w:ascii="Tahoma" w:hAnsi="Tahoma" w:cs="Tahoma"/>
      <w:bCs/>
      <w:szCs w:val="18"/>
      <w:lang w:eastAsia="en-US"/>
    </w:rPr>
  </w:style>
  <w:style w:type="paragraph" w:customStyle="1" w:styleId="BannerBase">
    <w:name w:val="Banner Base"/>
    <w:autoRedefine/>
    <w:pPr>
      <w:widowControl w:val="0"/>
      <w:autoSpaceDE w:val="0"/>
      <w:autoSpaceDN w:val="0"/>
      <w:spacing w:before="40" w:after="40" w:line="240" w:lineRule="exact"/>
    </w:pPr>
    <w:rPr>
      <w:rFonts w:ascii="Tahoma" w:hAnsi="Tahoma" w:cs="Tahoma"/>
      <w:b/>
      <w:bCs/>
      <w:sz w:val="22"/>
      <w:szCs w:val="32"/>
      <w:lang w:eastAsia="en-US"/>
    </w:rPr>
  </w:style>
  <w:style w:type="table" w:styleId="TableGrid">
    <w:name w:val="Table Grid"/>
    <w:basedOn w:val="TableNormal"/>
    <w:rsid w:val="006E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C0E9A"/>
    <w:rPr>
      <w:lang w:val="en-US" w:eastAsia="en-US" w:bidi="ar-SA"/>
    </w:rPr>
  </w:style>
  <w:style w:type="character" w:customStyle="1" w:styleId="BodyTextIndentChar">
    <w:name w:val="Body Text Indent Char"/>
    <w:link w:val="BodyTextIndent"/>
    <w:rsid w:val="008C0E9A"/>
    <w:rPr>
      <w:lang w:val="en-GB" w:eastAsia="en-US" w:bidi="ar-SA"/>
    </w:rPr>
  </w:style>
  <w:style w:type="character" w:styleId="Hyperlink">
    <w:name w:val="Hyperlink"/>
    <w:uiPriority w:val="99"/>
    <w:rsid w:val="0057171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71713"/>
    <w:rPr>
      <w:b/>
    </w:rPr>
  </w:style>
  <w:style w:type="paragraph" w:styleId="TOC2">
    <w:name w:val="toc 2"/>
    <w:basedOn w:val="Normal"/>
    <w:next w:val="Normal"/>
    <w:autoRedefine/>
    <w:uiPriority w:val="39"/>
    <w:rsid w:val="00571713"/>
    <w:pPr>
      <w:ind w:left="200"/>
    </w:pPr>
    <w:rPr>
      <w:sz w:val="18"/>
    </w:rPr>
  </w:style>
  <w:style w:type="paragraph" w:styleId="TOC3">
    <w:name w:val="toc 3"/>
    <w:basedOn w:val="Normal"/>
    <w:next w:val="Normal"/>
    <w:autoRedefine/>
    <w:uiPriority w:val="39"/>
    <w:rsid w:val="00571713"/>
    <w:pPr>
      <w:ind w:left="400"/>
    </w:pPr>
    <w:rPr>
      <w:i/>
      <w:sz w:val="18"/>
    </w:rPr>
  </w:style>
  <w:style w:type="character" w:customStyle="1" w:styleId="Heading1Char">
    <w:name w:val="Heading 1 Char"/>
    <w:link w:val="Heading1"/>
    <w:rsid w:val="00252EEA"/>
    <w:rPr>
      <w:rFonts w:ascii="Verdana" w:hAnsi="Verdana"/>
      <w:b/>
      <w:szCs w:val="16"/>
      <w:lang w:eastAsia="en-US"/>
    </w:rPr>
  </w:style>
  <w:style w:type="paragraph" w:styleId="Index4">
    <w:name w:val="index 4"/>
    <w:basedOn w:val="Normal"/>
    <w:next w:val="Normal"/>
    <w:autoRedefine/>
    <w:semiHidden/>
    <w:rsid w:val="002A3CE2"/>
    <w:pPr>
      <w:ind w:left="800" w:hanging="200"/>
    </w:pPr>
    <w:rPr>
      <w:rFonts w:ascii="Calibri" w:hAnsi="Calibri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C97C0F"/>
    <w:pPr>
      <w:ind w:left="200" w:hanging="20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semiHidden/>
    <w:rsid w:val="00C97C0F"/>
    <w:pPr>
      <w:ind w:left="400" w:hanging="20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semiHidden/>
    <w:rsid w:val="00C97C0F"/>
    <w:pPr>
      <w:ind w:left="600" w:hanging="20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2A3CE2"/>
    <w:pPr>
      <w:ind w:left="1000" w:hanging="20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2A3CE2"/>
    <w:pPr>
      <w:ind w:left="1200" w:hanging="20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2A3CE2"/>
    <w:pPr>
      <w:ind w:left="1400" w:hanging="20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2A3CE2"/>
    <w:pPr>
      <w:ind w:left="1600" w:hanging="20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2A3CE2"/>
    <w:pPr>
      <w:ind w:left="1800" w:hanging="20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2A3CE2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customStyle="1" w:styleId="BFDB239797424B1EBA6C4753EC568DC8">
    <w:name w:val="BFDB239797424B1EBA6C4753EC568DC8"/>
    <w:rsid w:val="00D8234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StyleTitleLeft">
    <w:name w:val="Style Title + Left"/>
    <w:basedOn w:val="Normal"/>
    <w:next w:val="Normal"/>
    <w:rsid w:val="00D82341"/>
    <w:pPr>
      <w:outlineLvl w:val="0"/>
    </w:pPr>
    <w:rPr>
      <w:b/>
      <w:bCs/>
      <w:noProof/>
      <w:kern w:val="28"/>
      <w:sz w:val="40"/>
      <w:szCs w:val="40"/>
      <w:lang w:val="en-GB"/>
    </w:rPr>
  </w:style>
  <w:style w:type="character" w:customStyle="1" w:styleId="TitleChar">
    <w:name w:val="Title Char"/>
    <w:link w:val="Title"/>
    <w:rsid w:val="00B96BAB"/>
    <w:rPr>
      <w:rFonts w:ascii="Verdana" w:hAnsi="Verdana"/>
      <w:b/>
      <w:sz w:val="32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BAB"/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rsid w:val="00B96BAB"/>
    <w:rPr>
      <w:rFonts w:ascii="Tahoma" w:hAnsi="Tahoma" w:cs="Tahoma"/>
      <w:sz w:val="16"/>
      <w:szCs w:val="1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F5CCB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character" w:styleId="Strong">
    <w:name w:val="Strong"/>
    <w:uiPriority w:val="22"/>
    <w:qFormat/>
    <w:rsid w:val="00B8500B"/>
    <w:rPr>
      <w:b/>
      <w:bCs/>
    </w:rPr>
  </w:style>
  <w:style w:type="character" w:customStyle="1" w:styleId="FooterChar">
    <w:name w:val="Footer Char"/>
    <w:link w:val="Footer"/>
    <w:uiPriority w:val="99"/>
    <w:rsid w:val="00407106"/>
    <w:rPr>
      <w:rFonts w:ascii="Verdana" w:hAnsi="Verdana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01333C"/>
    <w:rPr>
      <w:rFonts w:ascii="Times New Roman" w:hAnsi="Times New Roman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0133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56789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D400-C106-47EF-9D4C-C0CCCFCD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Audits Module</vt:lpstr>
    </vt:vector>
  </TitlesOfParts>
  <Company>IdeaGen Software Limited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Audits Module</dc:title>
  <dc:creator>Bill Bowes</dc:creator>
  <cp:lastModifiedBy>Steve Lane</cp:lastModifiedBy>
  <cp:revision>2</cp:revision>
  <cp:lastPrinted>2015-10-16T07:28:00Z</cp:lastPrinted>
  <dcterms:created xsi:type="dcterms:W3CDTF">2016-10-12T14:38:00Z</dcterms:created>
  <dcterms:modified xsi:type="dcterms:W3CDTF">2016-10-12T14:38:00Z</dcterms:modified>
</cp:coreProperties>
</file>